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media/image1.png" ContentType="image/png"/>
  <Override PartName="/word/header2.xml" ContentType="application/vnd.openxmlformats-officedocument.wordprocessingml.header+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Marianne" w:hAnsi="Marianne"/>
          <w:b/>
          <w:b/>
          <w:bCs/>
        </w:rPr>
      </w:pPr>
      <w:r>
        <w:rPr>
          <w:rFonts w:ascii="Marianne" w:hAnsi="Marianne"/>
          <w:b/>
          <w:bCs/>
        </w:rPr>
        <w:t>Gendarmerie nationale</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spacing w:lineRule="auto" w:line="240" w:before="0" w:after="0"/>
        <w:ind w:left="0" w:right="0" w:hanging="0"/>
        <w:jc w:val="center"/>
        <w:rPr>
          <w:rFonts w:ascii="Marianne" w:hAnsi="Marianne"/>
        </w:rPr>
      </w:pPr>
      <w:r>
        <w:rPr>
          <w:rFonts w:cs="Marianne" w:ascii="Marianne" w:hAnsi="Marianne"/>
          <w:b/>
          <w:sz w:val="24"/>
          <w:szCs w:val="24"/>
          <w:lang w:val="fr-FR"/>
        </w:rPr>
        <w:t xml:space="preserve">Annexe 7 à l’ATTRI Acte d’engagement </w:t>
      </w:r>
    </w:p>
    <w:p>
      <w:pPr>
        <w:pStyle w:val="Normal"/>
        <w:spacing w:lineRule="auto" w:line="240" w:before="0" w:after="0"/>
        <w:ind w:left="0" w:right="0" w:hanging="0"/>
        <w:jc w:val="center"/>
        <w:rPr>
          <w:rFonts w:ascii="Marianne" w:hAnsi="Marianne"/>
        </w:rPr>
      </w:pPr>
      <w:r>
        <w:rPr>
          <w:rFonts w:ascii="Marianne" w:hAnsi="Marianne"/>
        </w:rPr>
      </w:r>
    </w:p>
    <w:p>
      <w:pPr>
        <w:pStyle w:val="Normal"/>
        <w:spacing w:before="0" w:after="120"/>
        <w:jc w:val="center"/>
        <w:rPr>
          <w:rFonts w:ascii="Marianne" w:hAnsi="Marianne"/>
        </w:rPr>
      </w:pPr>
      <w:r>
        <w:rPr>
          <w:rFonts w:cs="Calibri" w:ascii="Marianne" w:hAnsi="Marianne" w:cstheme="minorHAnsi"/>
          <w:b/>
          <w:sz w:val="20"/>
          <w:szCs w:val="20"/>
          <w:lang w:val="fr-FR"/>
        </w:rPr>
        <w:t xml:space="preserve">GENDARMERIE POUR LA ZONE DE DÉFENSE ET SÉCURITÉ SUD-EST – SERVICES DES SOUTIENS ET DES FINANCES ZONAL – BUREAU BUDGET ADMINISTRATION – SECTION ADMINISTRATION </w:t>
      </w:r>
    </w:p>
    <w:p>
      <w:pPr>
        <w:pStyle w:val="Normal"/>
        <w:spacing w:before="0" w:after="120"/>
        <w:jc w:val="center"/>
        <w:rPr>
          <w:rFonts w:ascii="Marianne" w:hAnsi="Marianne"/>
          <w:sz w:val="20"/>
          <w:szCs w:val="20"/>
        </w:rPr>
      </w:pPr>
      <w:r>
        <w:rPr>
          <w:rFonts w:ascii="Marianne" w:hAnsi="Marianne"/>
          <w:sz w:val="20"/>
          <w:szCs w:val="20"/>
        </w:rPr>
      </w:r>
    </w:p>
    <w:p>
      <w:pPr>
        <w:pStyle w:val="Normal"/>
        <w:spacing w:before="0" w:after="120"/>
        <w:jc w:val="center"/>
        <w:rPr>
          <w:rFonts w:ascii="Marianne" w:hAnsi="Marianne"/>
        </w:rPr>
      </w:pPr>
      <w:r>
        <w:rPr>
          <w:rFonts w:cs="Calibri" w:ascii="Marianne" w:hAnsi="Marianne" w:cstheme="minorHAnsi"/>
          <w:b/>
          <w:sz w:val="20"/>
          <w:szCs w:val="20"/>
        </w:rPr>
        <w:t xml:space="preserve">Attestation sur l’honneur </w:t>
      </w:r>
      <w:bookmarkStart w:id="0" w:name="_Hlk104796608"/>
      <w:r>
        <w:rPr>
          <w:rFonts w:cs="Calibri" w:ascii="Marianne" w:hAnsi="Marianne" w:cstheme="minorHAnsi"/>
          <w:b/>
          <w:sz w:val="20"/>
          <w:szCs w:val="20"/>
        </w:rPr>
        <w:t>d’absence de lien avec la Russie</w:t>
      </w:r>
      <w:bookmarkEnd w:id="0"/>
    </w:p>
    <w:p>
      <w:pPr>
        <w:pStyle w:val="Normal"/>
        <w:rPr>
          <w:rFonts w:ascii="Marianne" w:hAnsi="Marianne" w:cs="Calibri" w:cstheme="minorHAnsi"/>
          <w:b/>
          <w:b/>
          <w:sz w:val="20"/>
          <w:szCs w:val="20"/>
        </w:rPr>
      </w:pPr>
      <w:r>
        <w:rPr>
          <w:rFonts w:cs="Calibri" w:cstheme="minorHAnsi" w:ascii="Marianne" w:hAnsi="Marianne"/>
          <w:b/>
          <w:sz w:val="20"/>
          <w:szCs w:val="20"/>
        </w:rPr>
      </w:r>
    </w:p>
    <w:p>
      <w:pPr>
        <w:pStyle w:val="Normal"/>
        <w:jc w:val="center"/>
        <w:rPr>
          <w:rFonts w:ascii="Marianne" w:hAnsi="Marianne"/>
        </w:rPr>
      </w:pPr>
      <w:r>
        <w:rPr>
          <w:rFonts w:cs="Calibri" w:ascii="Marianne" w:hAnsi="Marianne" w:cstheme="minorHAnsi"/>
          <w:b/>
          <w:sz w:val="20"/>
          <w:szCs w:val="20"/>
        </w:rPr>
        <w:t>En application du règlement (UE) n°2022/576 du Conseil du 8 avril 2022 modifiant le règlement (UE) n°833/2014 concernant des mesures restrictives eu égard aux actions de la Russie déstabilisant la situation en Ukraine</w:t>
      </w:r>
    </w:p>
    <w:p>
      <w:pPr>
        <w:pStyle w:val="Normal"/>
        <w:jc w:val="center"/>
        <w:rPr>
          <w:rFonts w:ascii="Marianne" w:hAnsi="Marianne" w:cs="Calibri" w:cstheme="minorHAnsi"/>
          <w:b/>
          <w:b/>
          <w:sz w:val="20"/>
          <w:szCs w:val="20"/>
        </w:rPr>
      </w:pPr>
      <w:r>
        <w:rPr>
          <w:rFonts w:cs="Calibri" w:cstheme="minorHAnsi" w:ascii="Marianne" w:hAnsi="Marianne"/>
          <w:b/>
          <w:sz w:val="20"/>
          <w:szCs w:val="20"/>
        </w:rPr>
      </w:r>
    </w:p>
    <w:p>
      <w:pPr>
        <w:pStyle w:val="Normal"/>
        <w:jc w:val="both"/>
        <w:rPr>
          <w:rFonts w:ascii="Marianne" w:hAnsi="Marianne"/>
        </w:rPr>
      </w:pPr>
      <w:r>
        <w:rPr>
          <w:rFonts w:cs="Calibri" w:ascii="Marianne" w:hAnsi="Marianne" w:cstheme="minorHAnsi"/>
          <w:b/>
          <w:sz w:val="20"/>
          <w:szCs w:val="20"/>
        </w:rPr>
        <w:t xml:space="preserve">Objet de la consultation du marché : </w:t>
      </w:r>
    </w:p>
    <w:p>
      <w:pPr>
        <w:pStyle w:val="Normal"/>
        <w:keepLines/>
        <w:widowControl w:val="false"/>
        <w:suppressLineNumbers/>
        <w:pBdr>
          <w:top w:val="single" w:sz="4" w:space="1" w:color="000000" w:shadow="1"/>
          <w:left w:val="single" w:sz="4" w:space="4" w:color="000000" w:shadow="1"/>
          <w:bottom w:val="single" w:sz="4" w:space="1" w:color="000000" w:shadow="1"/>
          <w:right w:val="single" w:sz="4" w:space="4" w:color="000000" w:shadow="1"/>
        </w:pBdr>
        <w:tabs>
          <w:tab w:val="clear" w:pos="708"/>
          <w:tab w:val="left" w:pos="7371" w:leader="none"/>
          <w:tab w:val="left" w:pos="8789" w:leader="none"/>
        </w:tabs>
        <w:suppressAutoHyphens w:val="false"/>
        <w:kinsoku w:val="true"/>
        <w:overflowPunct w:val="false"/>
        <w:autoSpaceDE w:val="false"/>
        <w:bidi w:val="0"/>
        <w:spacing w:lineRule="atLeast" w:line="100" w:before="6" w:after="6"/>
        <w:ind w:left="0" w:right="55" w:hanging="0"/>
        <w:jc w:val="both"/>
        <w:textAlignment w:val="baseline"/>
        <w:rPr>
          <w:rFonts w:ascii="Marianne" w:hAnsi="Marianne" w:eastAsia="Arial-BoldMT;Arial Unicode MS" w:cs="Marianne"/>
          <w:b w:val="false"/>
          <w:b w:val="false"/>
          <w:bCs w:val="false"/>
          <w:i w:val="false"/>
          <w:i w:val="false"/>
          <w:iCs/>
          <w:strike w:val="false"/>
          <w:dstrike w:val="false"/>
          <w:outline w:val="false"/>
          <w:shadow w:val="false"/>
          <w:color w:val="000000"/>
          <w:kern w:val="0"/>
          <w:sz w:val="20"/>
          <w:szCs w:val="20"/>
          <w:highlight w:val="none"/>
          <w:u w:val="none"/>
          <w:shd w:fill="auto" w:val="clear"/>
          <w:em w:val="none"/>
          <w:lang w:val="fr-FR" w:eastAsia="ar-SA" w:bidi="ar-SA"/>
        </w:rPr>
      </w:pPr>
      <w:r>
        <w:rPr>
          <w:rFonts w:eastAsia="Arial-BoldMT;Arial Unicode MS"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Travaux d’exécution relatif</w:t>
      </w:r>
      <w:r>
        <w:rPr>
          <w:rFonts w:eastAsia="Arial-BoldMT;Arial Unicode MS"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s</w:t>
      </w:r>
      <w:r>
        <w:rPr>
          <w:rFonts w:eastAsia="Arial-BoldMT;Arial Unicode MS"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 xml:space="preserve"> </w:t>
      </w:r>
      <w:r>
        <w:rPr>
          <w:rFonts w:eastAsia="Arial-BoldMT;Arial Unicode MS"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à la</w:t>
      </w:r>
      <w:r>
        <w:rPr>
          <w:rFonts w:eastAsia="Arial-BoldMT;Arial Unicode MS" w:cs="Marianne"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 </w:t>
      </w:r>
      <w:r>
        <w:rPr>
          <w:rFonts w:eastAsia="Arial-BoldMT;Arial Unicode MS" w:cs="Marianne"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r</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emise aux normes</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 </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des</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 chambres de sûreté, pour gard</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é</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 à vue, selon référentiel des exigences techniques gendarmerie, </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des trois casernes </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de gendarmerie à </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 xml:space="preserve">BELLEY </w:t>
      </w:r>
      <w:r>
        <w:rPr>
          <w:rFonts w:eastAsia="Arial-BoldMT;Arial Unicode MS" w:cs="Arial" w:ascii="Marianne" w:hAnsi="Marianne"/>
          <w:b w:val="false"/>
          <w:bCs w:val="false"/>
          <w:i w:val="false"/>
          <w:iCs w:val="false"/>
          <w:strike w:val="false"/>
          <w:dstrike w:val="false"/>
          <w:outline w:val="false"/>
          <w:shadow w:val="false"/>
          <w:color w:val="000000"/>
          <w:kern w:val="0"/>
          <w:sz w:val="20"/>
          <w:szCs w:val="20"/>
          <w:u w:val="none"/>
          <w:shd w:fill="auto" w:val="clear"/>
          <w:em w:val="none"/>
          <w:lang w:val="fr-FR" w:eastAsia="ar-SA" w:bidi="ar-SA"/>
        </w:rPr>
        <w:t>(01), PIERRELATTE (26) et ALBERTVILLE (73).</w:t>
      </w:r>
    </w:p>
    <w:p>
      <w:pPr>
        <w:pStyle w:val="Normal"/>
        <w:jc w:val="left"/>
        <w:rPr>
          <w:rFonts w:ascii="Marianne" w:hAnsi="Marianne"/>
        </w:rPr>
      </w:pPr>
      <w:r>
        <w:rPr>
          <w:rFonts w:ascii="Marianne" w:hAnsi="Marianne"/>
        </w:rPr>
      </w:r>
    </w:p>
    <w:p>
      <w:pPr>
        <w:pStyle w:val="Normal"/>
        <w:jc w:val="both"/>
        <w:rPr>
          <w:rFonts w:ascii="Marianne" w:hAnsi="Marianne"/>
        </w:rPr>
      </w:pPr>
      <w:r>
        <w:rPr>
          <w:rFonts w:cs="Calibri" w:ascii="Marianne" w:hAnsi="Marianne" w:cstheme="minorHAnsi"/>
          <w:sz w:val="20"/>
          <w:szCs w:val="20"/>
        </w:rPr>
        <w:t>Je, soussigné (nom, prénom, qualité dans l’entreprise) atteste sur l’honneur que [</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pour laquelle j’interviens :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un ressortissant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 xml:space="preserve"> </w:t>
      </w:r>
      <w:r>
        <w:rPr>
          <w:rFonts w:cs="Calibri" w:ascii="Marianne" w:hAnsi="Marianne" w:cstheme="minorHAnsi"/>
          <w:sz w:val="20"/>
          <w:szCs w:val="20"/>
        </w:rPr>
        <w:t>N’est pas une personne physique ou morale, ou une entité ou un organisme établi sur le territoire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détenu à plus de 50 %, et de cette manière directe ou indirecte, par une entité établie sur le territoire russe ;</w:t>
      </w:r>
    </w:p>
    <w:p>
      <w:pPr>
        <w:pStyle w:val="Normal"/>
        <w:numPr>
          <w:ilvl w:val="0"/>
          <w:numId w:val="1"/>
        </w:numPr>
        <w:jc w:val="both"/>
        <w:rPr>
          <w:rFonts w:ascii="Marianne" w:hAnsi="Marianne"/>
        </w:rPr>
      </w:pPr>
      <w:r>
        <mc:AlternateContent>
          <mc:Choice Requires="wps">
            <w:drawing>
              <wp:anchor behindDoc="0" distT="12700" distB="147955" distL="12700" distR="17780" simplePos="0" locked="0" layoutInCell="0" allowOverlap="1" relativeHeight="3" wp14:anchorId="4A8838B7">
                <wp:simplePos x="0" y="0"/>
                <wp:positionH relativeFrom="column">
                  <wp:posOffset>-731520</wp:posOffset>
                </wp:positionH>
                <wp:positionV relativeFrom="paragraph">
                  <wp:posOffset>340995</wp:posOffset>
                </wp:positionV>
                <wp:extent cx="918210" cy="735330"/>
                <wp:effectExtent l="12700" t="12700" r="17780" b="147955"/>
                <wp:wrapNone/>
                <wp:docPr id="1" name="Rectangle 4"/>
                <a:graphic xmlns:a="http://schemas.openxmlformats.org/drawingml/2006/main">
                  <a:graphicData uri="http://schemas.microsoft.com/office/word/2010/wordprocessingShape">
                    <wps:wsp>
                      <wps:cNvSpPr/>
                      <wps:spPr>
                        <a:xfrm>
                          <a:off x="0" y="0"/>
                          <a:ext cx="918360" cy="735480"/>
                        </a:xfrm>
                        <a:prstGeom prst="wedgeRectCallout">
                          <a:avLst>
                            <a:gd name="adj1" fmla="val 50549"/>
                            <a:gd name="adj2" fmla="val 68344"/>
                          </a:avLst>
                        </a:prstGeom>
                        <a:noFill/>
                        <a:ln w="25400">
                          <a:solidFill>
                            <a:srgbClr val="0000ff"/>
                          </a:solidFill>
                          <a:round/>
                        </a:ln>
                      </wps:spPr>
                      <wps:style>
                        <a:lnRef idx="0"/>
                        <a:fillRef idx="0"/>
                        <a:effectRef idx="0"/>
                        <a:fontRef idx="minor"/>
                      </wps:style>
                      <wps:txb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wps:txbx>
                      <wps:bodyPr anchor="ctr">
                        <a:prstTxWarp prst="textNoShape"/>
                        <a:noAutofit/>
                      </wps:bodyPr>
                    </wps:wsp>
                  </a:graphicData>
                </a:graphic>
              </wp:anchor>
            </w:drawing>
          </mc:Choice>
          <mc:Fallback>
            <w:pict>
              <v:shapetype id="_x0000_t61" coordsize="21600,21600" o:spt="61" adj="13500,-4500" path="m,l@11,l@20@28l@12,l21600,l21600@15l@22@30l21600@16l21600,21600l@12,21600l@24@32l@11,21600l,21600l0@16l@18@26l0@15xe">
                <v:stroke joinstyle="miter"/>
                <v:formulas>
                  <v:f eqn="val #1"/>
                  <v:f eqn="val #0"/>
                  <v:f eqn="sum 10800 @0 0"/>
                  <v:f eqn="sum 10800 @1 0"/>
                  <v:f eqn="sum @2 0 10800"/>
                  <v:f eqn="sum @3 0 10800"/>
                  <v:f eqn="abs @1"/>
                  <v:f eqn="abs @0"/>
                  <v:f eqn="sum @6 0 @7"/>
                  <v:f eqn="if @0 7 2"/>
                  <v:f eqn="if @0 10 5"/>
                  <v:f eqn="prod 5400 @9 3"/>
                  <v:f eqn="prod 5400 @10 3"/>
                  <v:f eqn="if @1 7 2"/>
                  <v:f eqn="if @1 10 5"/>
                  <v:f eqn="prod 5400 @13 3"/>
                  <v:f eqn="prod 5400 @14 3"/>
                  <v:f eqn="if @0 0 @2"/>
                  <v:f eqn="if @8 0 @17"/>
                  <v:f eqn="if @1 @11 @2"/>
                  <v:f eqn="if @8 @19 @11"/>
                  <v:f eqn="if @0 @2 width"/>
                  <v:f eqn="if @8 width @21"/>
                  <v:f eqn="if @1 @2 @11"/>
                  <v:f eqn="if @8 @23 @11"/>
                  <v:f eqn="if @0 @15 @3"/>
                  <v:f eqn="if @8 @15 @25"/>
                  <v:f eqn="if @1 0 @3"/>
                  <v:f eqn="if @8 @27 0"/>
                  <v:f eqn="if @0 @3 @15"/>
                  <v:f eqn="if @8 @15 @29"/>
                  <v:f eqn="if @1 @3 height"/>
                  <v:f eqn="if @8 @31 height"/>
                </v:formulas>
                <v:path gradientshapeok="t" o:connecttype="rect" textboxrect="0,0,21600,21600"/>
                <v:handles>
                  <v:h position="@2,@3"/>
                </v:handles>
              </v:shapetype>
              <v:shape id="shape_0" ID="Rectangle 4" path="m0,0l-2147483628,0l-2147483616,-2147483608l-2147483626,0l-2147483602,0l-2147483602,-2147483622l-2147483614,-2147483606l-2147483602,-2147483620l-2147483602,-2147483603l-2147483626,-2147483603l-2147483612,-2147483604l-2147483628,-2147483603l0,-2147483603l0,-2147483620l-2147483618,-2147483610l0,-2147483622xe" stroked="t" o:allowincell="f" style="position:absolute;margin-left:-57.6pt;margin-top:26.85pt;width:72.25pt;height:57.85pt;mso-wrap-style:square;v-text-anchor:middle" wp14:anchorId="4A8838B7" type="_x0000_t61">
                <v:fill o:detectmouseclick="t" on="false"/>
                <v:stroke color="blue" weight="25560" joinstyle="round" endcap="flat"/>
                <v:textbo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v:textbox>
                <w10:wrap type="none"/>
              </v:shape>
            </w:pict>
          </mc:Fallback>
        </mc:AlternateContent>
      </w:r>
      <w:r>
        <w:rPr>
          <w:rFonts w:cs="Calibri" w:ascii="Marianne" w:hAnsi="Marianne" w:cstheme="minorHAnsi"/>
          <w:sz w:val="20"/>
          <w:szCs w:val="20"/>
        </w:rPr>
        <w:t>N’agis pas pour le compte ou sur instruction d’une entité établie sur le territoire russe ou d’une entité détenue à plus de 50 % par une entité elle-même établie sur le territoire russe.</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jc w:val="both"/>
        <w:rPr>
          <w:rFonts w:ascii="Marianne" w:hAnsi="Marianne"/>
        </w:rPr>
      </w:pPr>
      <w:r>
        <w:rPr>
          <w:rFonts w:cs="Calibri" w:ascii="Marianne" w:hAnsi="Marianne" w:cstheme="minorHAnsi"/>
          <w:sz w:val="20"/>
          <w:szCs w:val="20"/>
        </w:rPr>
        <w:t>N’a pas recours, et ce pendant toute la durée du marché, à des sous-traitants ou des fournisseurs ou entités pour un montant représentant plus de 10 % de la valeur du marché et se trouvant dans l’un des cas précités (1),2),3) ou 4),</w:t>
      </w:r>
    </w:p>
    <w:p>
      <w:pPr>
        <w:pStyle w:val="ListParagrap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s’engage à fournir à première demande tout justificatif (notamment la liste exhaustive de tous ses fournisseurs) attestant du respect de ces engagements. Dans le cas inverse, le pouvoir adjudicateur se réserve la possibilité de résilier l’intégralité du marché sans indemnité.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 xml:space="preserve">Fait à </w:t>
      </w:r>
    </w:p>
    <w:p>
      <w:pPr>
        <w:pStyle w:val="Normal"/>
        <w:jc w:val="both"/>
        <w:rPr>
          <w:rFonts w:ascii="Marianne" w:hAnsi="Marianne"/>
        </w:rPr>
      </w:pPr>
      <w:r>
        <w:rPr>
          <w:rFonts w:cs="Calibri" w:ascii="Marianne" w:hAnsi="Marianne" w:cstheme="minorHAnsi"/>
          <w:sz w:val="20"/>
          <w:szCs w:val="20"/>
        </w:rPr>
        <w:t xml:space="preserve">Le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i/>
          <w:sz w:val="20"/>
          <w:szCs w:val="20"/>
        </w:rPr>
        <w:t>Signature</w:t>
      </w:r>
    </w:p>
    <w:p>
      <w:pPr>
        <w:pStyle w:val="Normal"/>
        <w:jc w:val="both"/>
        <w:rPr>
          <w:rFonts w:ascii="Marianne" w:hAnsi="Marianne"/>
        </w:rPr>
      </w:pPr>
      <w:bookmarkStart w:id="1" w:name="_Hlk104796548"/>
      <w:r>
        <w:rPr>
          <w:rFonts w:cs="Calibri" w:ascii="Marianne" w:hAnsi="Marianne" w:cstheme="minorHAnsi"/>
          <w:i/>
          <w:sz w:val="20"/>
          <w:szCs w:val="20"/>
        </w:rPr>
        <w:t>Cachet de l’entrepr</w:t>
      </w:r>
      <w:bookmarkEnd w:id="1"/>
      <w:r>
        <w:rPr>
          <w:rFonts w:cs="Calibri" w:ascii="Marianne" w:hAnsi="Marianne" w:cstheme="minorHAnsi"/>
          <w:i/>
          <w:sz w:val="20"/>
          <w:szCs w:val="20"/>
        </w:rPr>
        <w:t>ise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7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rebuchet MS">
    <w:charset w:val="01"/>
    <w:family w:val="roman"/>
    <w:pitch w:val="variable"/>
  </w:font>
  <w:font w:name="Liberation Sans">
    <w:altName w:val="Arial"/>
    <w:charset w:val="01"/>
    <w:family w:val="roman"/>
    <w:pitch w:val="variable"/>
  </w:font>
  <w:font w:name="Marianne">
    <w:charset w:val="01"/>
    <w:family w:val="roman"/>
    <w:pitch w:val="variable"/>
  </w:font>
  <w:font w:name="Marianne">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left="0" w:right="0" w:hanging="0"/>
      <w:jc w:val="left"/>
      <w:rPr>
        <w:highlight w:val="none"/>
        <w:shd w:fill="auto" w:val="clear"/>
      </w:rPr>
    </w:pPr>
    <w:r>
      <w:rPr>
        <w:rFonts w:cs="Marianne" w:ascii="Marianne" w:hAnsi="Marianne"/>
        <w:b w:val="false"/>
        <w:bCs w:val="false"/>
        <w:i w:val="false"/>
        <w:iCs w:val="false"/>
        <w:sz w:val="16"/>
        <w:szCs w:val="16"/>
        <w:shd w:fill="auto" w:val="clear"/>
      </w:rPr>
      <w:t xml:space="preserve">Annexe 7 ATTRI 1 </w:t>
      <w:tab/>
      <w:t xml:space="preserve">   06 – Remise norme Chambre Sureté BELLEY (01), PIERRELATTE (26) et ALBERTVILLE (73)</w:t>
    </w:r>
    <w:r>
      <w:rPr>
        <w:rFonts w:eastAsia="Times New Roman" w:cs="Times New Roman" w:ascii="Marianne" w:hAnsi="Marianne"/>
        <w:b w:val="false"/>
        <w:bCs w:val="false"/>
        <w:i w:val="false"/>
        <w:iCs w:val="false"/>
        <w:strike w:val="false"/>
        <w:dstrike w:val="false"/>
        <w:outline w:val="false"/>
        <w:shadow/>
        <w:color w:val="000000"/>
        <w:sz w:val="16"/>
        <w:szCs w:val="16"/>
        <w:u w:val="none"/>
        <w:shd w:fill="auto" w:val="clear"/>
        <w:em w:val="none"/>
        <w:lang w:val="fr-FR" w:eastAsia="zxx" w:bidi="ar-SA"/>
      </w:rPr>
      <w:t xml:space="preserve">          </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left="0" w:right="0" w:hanging="0"/>
      <w:jc w:val="left"/>
      <w:rPr>
        <w:highlight w:val="none"/>
        <w:shd w:fill="auto" w:val="clear"/>
      </w:rPr>
    </w:pPr>
    <w:r>
      <w:rPr>
        <w:rFonts w:cs="Marianne" w:ascii="Marianne" w:hAnsi="Marianne"/>
        <w:b w:val="false"/>
        <w:bCs w:val="false"/>
        <w:i w:val="false"/>
        <w:iCs w:val="false"/>
        <w:sz w:val="16"/>
        <w:szCs w:val="16"/>
        <w:shd w:fill="auto" w:val="clear"/>
      </w:rPr>
      <w:t xml:space="preserve">Annexe 7 ATTRI 1 </w:t>
      <w:tab/>
      <w:t xml:space="preserve">   06 – Remise norme Chambre Sureté BELLEY (01), PIERRELATTE (26) et ALBERTVILLE (73)</w:t>
    </w:r>
    <w:r>
      <w:rPr>
        <w:rFonts w:eastAsia="Times New Roman" w:cs="Times New Roman" w:ascii="Marianne" w:hAnsi="Marianne"/>
        <w:b w:val="false"/>
        <w:bCs w:val="false"/>
        <w:i w:val="false"/>
        <w:iCs w:val="false"/>
        <w:strike w:val="false"/>
        <w:dstrike w:val="false"/>
        <w:outline w:val="false"/>
        <w:shadow/>
        <w:color w:val="000000"/>
        <w:sz w:val="16"/>
        <w:szCs w:val="16"/>
        <w:u w:val="none"/>
        <w:shd w:fill="auto" w:val="clear"/>
        <w:em w:val="none"/>
        <w:lang w:val="fr-FR" w:eastAsia="zxx" w:bidi="ar-SA"/>
      </w:rPr>
      <w:t xml:space="preserve">          </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a2e3e"/>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14:ligatures w14:val="none"/>
    </w:rPr>
  </w:style>
  <w:style w:type="character" w:styleId="DefaultParagraphFont" w:default="1">
    <w:name w:val="Default Paragraph Font"/>
    <w:uiPriority w:val="1"/>
    <w:semiHidden/>
    <w:unhideWhenUsed/>
    <w:qFormat/>
    <w:rPr/>
  </w:style>
  <w:style w:type="character" w:styleId="CorpsdetexteCar" w:customStyle="1">
    <w:name w:val="Corps de texte Car"/>
    <w:basedOn w:val="DefaultParagraphFont"/>
    <w:qFormat/>
    <w:rsid w:val="00ba2e3e"/>
    <w:rPr>
      <w:rFonts w:ascii="Trebuchet MS" w:hAnsi="Trebuchet MS" w:eastAsia="Times New Roman" w:cs="Times New Roman"/>
      <w:bCs/>
      <w:kern w:val="0"/>
      <w:sz w:val="22"/>
      <w:szCs w:val="20"/>
      <w:lang w:eastAsia="fr-FR"/>
      <w14:ligatures w14:val="none"/>
    </w:rPr>
  </w:style>
  <w:style w:type="character" w:styleId="EntteCar" w:customStyle="1">
    <w:name w:val="En-têt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character" w:styleId="PieddepageCar" w:customStyle="1">
    <w:name w:val="Pied de pag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link w:val="CorpsdetexteCar"/>
    <w:rsid w:val="00ba2e3e"/>
    <w:pPr>
      <w:jc w:val="both"/>
    </w:pPr>
    <w:rPr>
      <w:rFonts w:ascii="Trebuchet MS" w:hAnsi="Trebuchet MS"/>
      <w:bCs/>
      <w:sz w:val="22"/>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ba2e3e"/>
    <w:pPr>
      <w:spacing w:before="0" w:after="0"/>
      <w:ind w:left="720" w:hanging="0"/>
      <w:contextualSpacing/>
    </w:pPr>
    <w:rPr/>
  </w:style>
  <w:style w:type="paragraph" w:styleId="Entteetpieddepage">
    <w:name w:val="En-tête et pied de page"/>
    <w:basedOn w:val="Normal"/>
    <w:qFormat/>
    <w:pPr/>
    <w:rPr/>
  </w:style>
  <w:style w:type="paragraph" w:styleId="Entte">
    <w:name w:val="Header"/>
    <w:basedOn w:val="Normal"/>
    <w:uiPriority w:val="99"/>
    <w:unhideWhenUsed/>
    <w:rsid w:val="00ba2e3e"/>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ba2e3e"/>
    <w:pPr>
      <w:tabs>
        <w:tab w:val="clear" w:pos="708"/>
        <w:tab w:val="center" w:pos="4536" w:leader="none"/>
        <w:tab w:val="right" w:pos="9072" w:leader="none"/>
      </w:tabs>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ba2e3e"/>
    <w:rPr>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Bureau">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LibreOffice/7.3.7.2$Linux_X86_64 LibreOffice_project/30$Build-2</Application>
  <AppVersion>15.0000</AppVersion>
  <Pages>1</Pages>
  <Words>354</Words>
  <Characters>1836</Characters>
  <CharactersWithSpaces>2203</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2023-02-20T18:01:00Z</dcterms:created>
  <dc:creator> </dc:creator>
  <dc:description/>
  <dc:language>fr-FR</dc:language>
  <cp:lastModifiedBy/>
  <dcterms:modified xsi:type="dcterms:W3CDTF">2025-10-02T10:18:35Z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